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color w:val="000000"/>
          <w:szCs w:val="32"/>
        </w:rPr>
      </w:pPr>
      <w:r>
        <w:rPr>
          <w:rFonts w:hint="eastAsia" w:ascii="黑体" w:hAnsi="黑体" w:eastAsia="黑体" w:cs="黑体"/>
          <w:bCs/>
          <w:color w:val="000000"/>
          <w:szCs w:val="32"/>
        </w:rPr>
        <w:t>附件4-1</w:t>
      </w:r>
    </w:p>
    <w:p>
      <w:pPr>
        <w:jc w:val="center"/>
        <w:rPr>
          <w:rFonts w:ascii="方正小标宋简体" w:hAnsi="方正小标宋简体" w:eastAsia="方正小标宋简体" w:cs="方正小标宋简体"/>
          <w:color w:val="000000"/>
          <w:sz w:val="44"/>
          <w:szCs w:val="44"/>
        </w:rPr>
      </w:pPr>
      <w:r>
        <w:rPr>
          <w:rFonts w:hint="eastAsia" w:ascii="华文中宋" w:hAnsi="华文中宋" w:eastAsia="华文中宋" w:cs="华文中宋"/>
          <w:color w:val="000000"/>
          <w:sz w:val="36"/>
          <w:szCs w:val="36"/>
        </w:rPr>
        <w:t>中国新闻奖新闻期刊参评作品推荐表</w:t>
      </w:r>
    </w:p>
    <w:tbl>
      <w:tblPr>
        <w:tblStyle w:val="2"/>
        <w:tblW w:w="10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3943"/>
        <w:gridCol w:w="1276"/>
        <w:gridCol w:w="3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exact"/>
          <w:jc w:val="center"/>
        </w:trPr>
        <w:tc>
          <w:tcPr>
            <w:tcW w:w="1313" w:type="dxa"/>
            <w:vMerge w:val="restart"/>
            <w:vAlign w:val="center"/>
          </w:tcPr>
          <w:p>
            <w:pPr>
              <w:spacing w:line="380" w:lineRule="exact"/>
              <w:jc w:val="center"/>
              <w:rPr>
                <w:rFonts w:ascii="华文中宋" w:hAnsi="华文中宋" w:eastAsia="华文中宋" w:cs="华文中宋"/>
                <w:color w:val="000000"/>
                <w:sz w:val="24"/>
                <w:szCs w:val="24"/>
              </w:rPr>
            </w:pPr>
            <w:r>
              <w:rPr>
                <w:rFonts w:hint="eastAsia" w:ascii="华文中宋" w:hAnsi="华文中宋" w:eastAsia="华文中宋" w:cs="华文中宋"/>
                <w:color w:val="000000"/>
                <w:sz w:val="24"/>
                <w:szCs w:val="24"/>
              </w:rPr>
              <w:t>作品标题</w:t>
            </w:r>
          </w:p>
        </w:tc>
        <w:tc>
          <w:tcPr>
            <w:tcW w:w="3943" w:type="dxa"/>
            <w:vMerge w:val="restart"/>
            <w:vAlign w:val="center"/>
          </w:tcPr>
          <w:p>
            <w:pPr>
              <w:spacing w:line="260" w:lineRule="exact"/>
              <w:rPr>
                <w:rFonts w:hint="eastAsia" w:ascii="仿宋" w:hAnsi="仿宋" w:eastAsia="仿宋"/>
                <w:sz w:val="21"/>
                <w:szCs w:val="21"/>
                <w:lang w:eastAsia="zh-CN"/>
              </w:rPr>
            </w:pPr>
            <w:r>
              <w:rPr>
                <w:rFonts w:hint="eastAsia" w:ascii="仿宋" w:hAnsi="仿宋" w:eastAsia="仿宋"/>
                <w:sz w:val="21"/>
                <w:szCs w:val="21"/>
                <w:lang w:val="en-US" w:eastAsia="zh-CN"/>
              </w:rPr>
              <w:t>《大国治沙》</w:t>
            </w:r>
          </w:p>
        </w:tc>
        <w:tc>
          <w:tcPr>
            <w:tcW w:w="1276" w:type="dxa"/>
            <w:vAlign w:val="center"/>
          </w:tcPr>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参评项目</w:t>
            </w:r>
          </w:p>
        </w:tc>
        <w:tc>
          <w:tcPr>
            <w:tcW w:w="3866" w:type="dxa"/>
            <w:vAlign w:val="center"/>
          </w:tcPr>
          <w:p>
            <w:pPr>
              <w:spacing w:line="260" w:lineRule="exact"/>
              <w:rPr>
                <w:rFonts w:hint="eastAsia" w:ascii="仿宋" w:hAnsi="仿宋" w:eastAsia="仿宋"/>
                <w:sz w:val="21"/>
                <w:szCs w:val="21"/>
                <w:lang w:eastAsia="zh-CN"/>
              </w:rPr>
            </w:pPr>
            <w:r>
              <w:rPr>
                <w:rFonts w:hint="eastAsia" w:ascii="仿宋" w:hAnsi="仿宋" w:eastAsia="仿宋"/>
                <w:sz w:val="21"/>
                <w:szCs w:val="21"/>
                <w:lang w:eastAsia="zh-CN"/>
              </w:rPr>
              <w:t>评论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exact"/>
          <w:jc w:val="center"/>
        </w:trPr>
        <w:tc>
          <w:tcPr>
            <w:tcW w:w="1313" w:type="dxa"/>
            <w:vMerge w:val="continue"/>
            <w:vAlign w:val="center"/>
          </w:tcPr>
          <w:p>
            <w:pPr>
              <w:spacing w:line="380" w:lineRule="exact"/>
              <w:ind w:firstLine="560"/>
              <w:jc w:val="center"/>
              <w:rPr>
                <w:rFonts w:ascii="华文中宋" w:hAnsi="华文中宋" w:eastAsia="华文中宋" w:cs="华文中宋"/>
                <w:color w:val="000000"/>
                <w:sz w:val="24"/>
                <w:szCs w:val="24"/>
              </w:rPr>
            </w:pPr>
          </w:p>
        </w:tc>
        <w:tc>
          <w:tcPr>
            <w:tcW w:w="3943" w:type="dxa"/>
            <w:vMerge w:val="continue"/>
            <w:vAlign w:val="center"/>
          </w:tcPr>
          <w:p>
            <w:pPr>
              <w:spacing w:line="260" w:lineRule="exact"/>
              <w:rPr>
                <w:rFonts w:ascii="仿宋" w:hAnsi="仿宋" w:eastAsia="仿宋"/>
                <w:sz w:val="21"/>
                <w:szCs w:val="21"/>
              </w:rPr>
            </w:pPr>
          </w:p>
        </w:tc>
        <w:tc>
          <w:tcPr>
            <w:tcW w:w="1276" w:type="dxa"/>
            <w:vAlign w:val="center"/>
          </w:tcPr>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体裁</w:t>
            </w:r>
          </w:p>
        </w:tc>
        <w:tc>
          <w:tcPr>
            <w:tcW w:w="3866" w:type="dxa"/>
            <w:vAlign w:val="center"/>
          </w:tcPr>
          <w:p>
            <w:pPr>
              <w:spacing w:line="260" w:lineRule="exact"/>
              <w:rPr>
                <w:rFonts w:hint="eastAsia" w:ascii="仿宋" w:hAnsi="仿宋" w:eastAsia="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exact"/>
          <w:jc w:val="center"/>
        </w:trPr>
        <w:tc>
          <w:tcPr>
            <w:tcW w:w="1313" w:type="dxa"/>
            <w:vMerge w:val="continue"/>
            <w:vAlign w:val="center"/>
          </w:tcPr>
          <w:p>
            <w:pPr>
              <w:spacing w:line="380" w:lineRule="exact"/>
              <w:ind w:firstLine="560"/>
              <w:jc w:val="center"/>
              <w:rPr>
                <w:rFonts w:ascii="华文中宋" w:hAnsi="华文中宋" w:eastAsia="华文中宋" w:cs="华文中宋"/>
                <w:color w:val="000000"/>
                <w:sz w:val="24"/>
                <w:szCs w:val="24"/>
              </w:rPr>
            </w:pPr>
          </w:p>
        </w:tc>
        <w:tc>
          <w:tcPr>
            <w:tcW w:w="3943" w:type="dxa"/>
            <w:vMerge w:val="continue"/>
            <w:vAlign w:val="center"/>
          </w:tcPr>
          <w:p>
            <w:pPr>
              <w:spacing w:line="260" w:lineRule="exact"/>
              <w:rPr>
                <w:rFonts w:ascii="仿宋" w:hAnsi="仿宋" w:eastAsia="仿宋"/>
                <w:sz w:val="21"/>
                <w:szCs w:val="21"/>
              </w:rPr>
            </w:pPr>
          </w:p>
        </w:tc>
        <w:tc>
          <w:tcPr>
            <w:tcW w:w="1276" w:type="dxa"/>
            <w:vAlign w:val="center"/>
          </w:tcPr>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语种</w:t>
            </w:r>
          </w:p>
        </w:tc>
        <w:tc>
          <w:tcPr>
            <w:tcW w:w="3866" w:type="dxa"/>
            <w:vAlign w:val="center"/>
          </w:tcPr>
          <w:p>
            <w:pPr>
              <w:spacing w:line="260" w:lineRule="exact"/>
              <w:rPr>
                <w:rFonts w:hint="eastAsia" w:ascii="仿宋" w:hAnsi="仿宋" w:eastAsia="仿宋"/>
                <w:sz w:val="21"/>
                <w:szCs w:val="21"/>
                <w:lang w:eastAsia="zh-CN"/>
              </w:rPr>
            </w:pPr>
            <w:r>
              <w:rPr>
                <w:rFonts w:hint="eastAsia" w:ascii="仿宋" w:hAnsi="仿宋" w:eastAsia="仿宋"/>
                <w:sz w:val="21"/>
                <w:szCs w:val="21"/>
                <w:lang w:eastAsia="zh-CN"/>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313" w:type="dxa"/>
            <w:vAlign w:val="center"/>
          </w:tcPr>
          <w:p>
            <w:pPr>
              <w:spacing w:line="320" w:lineRule="exact"/>
              <w:jc w:val="center"/>
              <w:rPr>
                <w:rFonts w:ascii="华文中宋" w:hAnsi="华文中宋" w:eastAsia="华文中宋" w:cs="华文中宋"/>
                <w:color w:val="000000"/>
                <w:spacing w:val="-12"/>
                <w:sz w:val="24"/>
                <w:szCs w:val="24"/>
              </w:rPr>
            </w:pPr>
            <w:r>
              <w:rPr>
                <w:rFonts w:hint="eastAsia" w:ascii="华文中宋" w:hAnsi="华文中宋" w:eastAsia="华文中宋" w:cs="华文中宋"/>
                <w:color w:val="000000"/>
                <w:spacing w:val="-12"/>
                <w:sz w:val="24"/>
                <w:szCs w:val="24"/>
              </w:rPr>
              <w:t>作  者</w:t>
            </w:r>
          </w:p>
          <w:p>
            <w:pPr>
              <w:spacing w:line="320" w:lineRule="exact"/>
              <w:jc w:val="center"/>
              <w:rPr>
                <w:rFonts w:ascii="华文中宋" w:hAnsi="华文中宋" w:eastAsia="华文中宋" w:cs="华文中宋"/>
                <w:color w:val="000000"/>
                <w:spacing w:val="-12"/>
                <w:sz w:val="18"/>
                <w:szCs w:val="18"/>
              </w:rPr>
            </w:pPr>
            <w:r>
              <w:rPr>
                <w:rFonts w:hint="eastAsia" w:ascii="华文中宋" w:hAnsi="华文中宋" w:eastAsia="华文中宋" w:cs="华文中宋"/>
                <w:color w:val="000000"/>
                <w:spacing w:val="-12"/>
                <w:sz w:val="18"/>
                <w:szCs w:val="18"/>
              </w:rPr>
              <w:t>（主创人员）</w:t>
            </w:r>
          </w:p>
        </w:tc>
        <w:tc>
          <w:tcPr>
            <w:tcW w:w="3943" w:type="dxa"/>
            <w:vAlign w:val="center"/>
          </w:tcPr>
          <w:p>
            <w:pPr>
              <w:spacing w:line="260" w:lineRule="exact"/>
              <w:rPr>
                <w:rFonts w:hint="eastAsia" w:ascii="仿宋" w:hAnsi="仿宋" w:eastAsia="仿宋"/>
                <w:sz w:val="21"/>
                <w:szCs w:val="21"/>
              </w:rPr>
            </w:pPr>
            <w:r>
              <w:rPr>
                <w:rFonts w:hint="eastAsia" w:ascii="仿宋" w:hAnsi="仿宋" w:eastAsia="仿宋"/>
                <w:sz w:val="21"/>
                <w:szCs w:val="21"/>
                <w:lang w:val="en-US" w:eastAsia="zh-CN"/>
              </w:rPr>
              <w:t>集体（宋明、</w:t>
            </w:r>
            <w:r>
              <w:rPr>
                <w:rFonts w:hint="eastAsia" w:ascii="仿宋" w:hAnsi="仿宋" w:eastAsia="仿宋"/>
                <w:sz w:val="21"/>
                <w:szCs w:val="21"/>
                <w:lang w:val="en-US" w:eastAsia="zh-Hans"/>
              </w:rPr>
              <w:t>闫立功、许美芳、吕亚娟、王丹、梁利军、张雅茹</w:t>
            </w:r>
            <w:r>
              <w:rPr>
                <w:rFonts w:hint="eastAsia" w:ascii="仿宋" w:hAnsi="仿宋" w:eastAsia="仿宋"/>
                <w:sz w:val="21"/>
                <w:szCs w:val="21"/>
                <w:lang w:val="en-US" w:eastAsia="zh-CN"/>
              </w:rPr>
              <w:t>、戈文慧</w:t>
            </w:r>
            <w:r>
              <w:rPr>
                <w:rFonts w:hint="eastAsia" w:ascii="仿宋" w:hAnsi="仿宋" w:eastAsia="仿宋"/>
                <w:sz w:val="21"/>
                <w:szCs w:val="21"/>
                <w:lang w:val="en-US" w:eastAsia="zh-Hans"/>
              </w:rPr>
              <w:t>）</w:t>
            </w:r>
          </w:p>
        </w:tc>
        <w:tc>
          <w:tcPr>
            <w:tcW w:w="1276" w:type="dxa"/>
            <w:vAlign w:val="center"/>
          </w:tcPr>
          <w:p>
            <w:pPr>
              <w:spacing w:line="240" w:lineRule="exact"/>
              <w:jc w:val="center"/>
              <w:rPr>
                <w:rFonts w:ascii="仿宋" w:hAnsi="仿宋" w:eastAsia="仿宋"/>
                <w:color w:val="000000"/>
                <w:w w:val="95"/>
                <w:sz w:val="24"/>
                <w:szCs w:val="24"/>
              </w:rPr>
            </w:pPr>
            <w:r>
              <w:rPr>
                <w:rFonts w:hint="eastAsia" w:ascii="华文中宋" w:hAnsi="华文中宋" w:eastAsia="华文中宋"/>
                <w:color w:val="000000"/>
                <w:sz w:val="24"/>
                <w:szCs w:val="24"/>
              </w:rPr>
              <w:t>编辑</w:t>
            </w:r>
          </w:p>
        </w:tc>
        <w:tc>
          <w:tcPr>
            <w:tcW w:w="3866" w:type="dxa"/>
            <w:vAlign w:val="center"/>
          </w:tcPr>
          <w:p>
            <w:pPr>
              <w:spacing w:line="260" w:lineRule="exact"/>
              <w:rPr>
                <w:rFonts w:hint="eastAsia" w:ascii="仿宋" w:hAnsi="仿宋" w:eastAsia="仿宋"/>
                <w:sz w:val="21"/>
                <w:szCs w:val="21"/>
                <w:lang w:eastAsia="zh-CN"/>
              </w:rPr>
            </w:pPr>
            <w:r>
              <w:rPr>
                <w:rFonts w:hint="eastAsia" w:ascii="仿宋" w:hAnsi="仿宋" w:eastAsia="仿宋"/>
                <w:sz w:val="21"/>
                <w:szCs w:val="21"/>
                <w:lang w:val="en-US" w:eastAsia="zh-Hans"/>
              </w:rPr>
              <w:t>宝鹿尔其其格</w:t>
            </w:r>
            <w:r>
              <w:rPr>
                <w:rFonts w:hint="default" w:ascii="仿宋" w:hAnsi="仿宋" w:eastAsia="仿宋"/>
                <w:sz w:val="21"/>
                <w:szCs w:val="21"/>
                <w:lang w:val="en-US" w:eastAsia="zh-Hans"/>
              </w:rPr>
              <w:t>、</w:t>
            </w:r>
            <w:r>
              <w:rPr>
                <w:rFonts w:hint="eastAsia" w:ascii="仿宋" w:hAnsi="仿宋" w:eastAsia="仿宋"/>
                <w:sz w:val="21"/>
                <w:szCs w:val="21"/>
                <w:lang w:val="en-US" w:eastAsia="zh-Hans"/>
              </w:rPr>
              <w:t>石淞铭</w:t>
            </w:r>
            <w:r>
              <w:rPr>
                <w:rFonts w:hint="eastAsia" w:ascii="仿宋" w:hAnsi="仿宋" w:eastAsia="仿宋"/>
                <w:sz w:val="21"/>
                <w:szCs w:val="21"/>
                <w:lang w:val="en-US" w:eastAsia="zh-CN"/>
              </w:rPr>
              <w:t>、刘秉承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1313" w:type="dxa"/>
            <w:vAlign w:val="center"/>
          </w:tcPr>
          <w:p>
            <w:pPr>
              <w:jc w:val="center"/>
              <w:rPr>
                <w:rFonts w:ascii="华文中宋" w:hAnsi="华文中宋" w:eastAsia="华文中宋" w:cs="华文中宋"/>
                <w:color w:val="000000"/>
                <w:sz w:val="24"/>
                <w:szCs w:val="24"/>
              </w:rPr>
            </w:pPr>
            <w:r>
              <w:rPr>
                <w:rFonts w:hint="eastAsia" w:ascii="华文中宋" w:hAnsi="华文中宋" w:eastAsia="华文中宋" w:cs="华文中宋"/>
                <w:color w:val="000000"/>
                <w:sz w:val="24"/>
                <w:szCs w:val="24"/>
              </w:rPr>
              <w:t>原创单位</w:t>
            </w:r>
          </w:p>
        </w:tc>
        <w:tc>
          <w:tcPr>
            <w:tcW w:w="3943" w:type="dxa"/>
            <w:vAlign w:val="center"/>
          </w:tcPr>
          <w:p>
            <w:pPr>
              <w:spacing w:line="260" w:lineRule="exact"/>
              <w:rPr>
                <w:rFonts w:hint="eastAsia" w:ascii="仿宋" w:hAnsi="仿宋" w:eastAsia="仿宋"/>
                <w:sz w:val="21"/>
                <w:szCs w:val="21"/>
                <w:lang w:eastAsia="zh-CN"/>
              </w:rPr>
            </w:pPr>
            <w:r>
              <w:rPr>
                <w:rFonts w:hint="eastAsia" w:ascii="仿宋" w:hAnsi="仿宋" w:eastAsia="仿宋"/>
                <w:sz w:val="21"/>
                <w:szCs w:val="21"/>
                <w:lang w:eastAsia="zh-CN"/>
              </w:rPr>
              <w:t>实践杂志社</w:t>
            </w:r>
          </w:p>
        </w:tc>
        <w:tc>
          <w:tcPr>
            <w:tcW w:w="1276" w:type="dxa"/>
            <w:vAlign w:val="center"/>
          </w:tcPr>
          <w:p>
            <w:pPr>
              <w:spacing w:line="240" w:lineRule="exact"/>
              <w:rPr>
                <w:rFonts w:ascii="仿宋_GB2312" w:hAnsi="仿宋"/>
                <w:color w:val="000000"/>
                <w:sz w:val="21"/>
                <w:szCs w:val="21"/>
                <w:highlight w:val="green"/>
              </w:rPr>
            </w:pPr>
            <w:r>
              <w:rPr>
                <w:rFonts w:hint="eastAsia" w:ascii="华文中宋" w:hAnsi="华文中宋" w:eastAsia="华文中宋"/>
                <w:color w:val="000000"/>
                <w:sz w:val="24"/>
                <w:szCs w:val="24"/>
              </w:rPr>
              <w:t>刊播单位</w:t>
            </w:r>
          </w:p>
        </w:tc>
        <w:tc>
          <w:tcPr>
            <w:tcW w:w="3866" w:type="dxa"/>
            <w:vAlign w:val="center"/>
          </w:tcPr>
          <w:p>
            <w:pPr>
              <w:spacing w:line="260" w:lineRule="exact"/>
              <w:rPr>
                <w:rFonts w:hint="default" w:ascii="仿宋" w:hAnsi="仿宋" w:eastAsia="仿宋"/>
                <w:sz w:val="21"/>
                <w:szCs w:val="21"/>
                <w:lang w:val="en-US" w:eastAsia="zh-CN"/>
              </w:rPr>
            </w:pPr>
            <w:r>
              <w:rPr>
                <w:rFonts w:hint="eastAsia" w:ascii="仿宋" w:hAnsi="仿宋" w:eastAsia="仿宋"/>
                <w:sz w:val="21"/>
                <w:szCs w:val="21"/>
                <w:lang w:eastAsia="zh-CN"/>
              </w:rPr>
              <w:t>《实践》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exact"/>
          <w:jc w:val="center"/>
        </w:trPr>
        <w:tc>
          <w:tcPr>
            <w:tcW w:w="1313" w:type="dxa"/>
            <w:vAlign w:val="center"/>
          </w:tcPr>
          <w:p>
            <w:pPr>
              <w:spacing w:line="440" w:lineRule="exact"/>
              <w:jc w:val="center"/>
              <w:rPr>
                <w:rFonts w:ascii="华文中宋" w:hAnsi="华文中宋" w:eastAsia="华文中宋" w:cs="华文中宋"/>
                <w:color w:val="000000"/>
                <w:sz w:val="24"/>
                <w:szCs w:val="24"/>
              </w:rPr>
            </w:pPr>
            <w:r>
              <w:rPr>
                <w:rFonts w:hint="eastAsia" w:ascii="华文中宋" w:hAnsi="华文中宋" w:eastAsia="华文中宋" w:cs="华文中宋"/>
                <w:color w:val="000000"/>
                <w:sz w:val="24"/>
                <w:szCs w:val="24"/>
              </w:rPr>
              <w:t>年度刊期</w:t>
            </w:r>
          </w:p>
        </w:tc>
        <w:tc>
          <w:tcPr>
            <w:tcW w:w="3943" w:type="dxa"/>
            <w:vAlign w:val="center"/>
          </w:tcPr>
          <w:p>
            <w:pPr>
              <w:spacing w:line="260" w:lineRule="exact"/>
              <w:rPr>
                <w:rFonts w:ascii="仿宋" w:hAnsi="仿宋" w:eastAsia="仿宋"/>
                <w:sz w:val="21"/>
                <w:szCs w:val="21"/>
              </w:rPr>
            </w:pPr>
            <w:r>
              <w:rPr>
                <w:rFonts w:hint="eastAsia" w:ascii="仿宋" w:hAnsi="仿宋" w:eastAsia="仿宋"/>
                <w:sz w:val="21"/>
                <w:szCs w:val="21"/>
                <w:lang w:eastAsia="zh-CN"/>
              </w:rPr>
              <w:t>《实践》</w:t>
            </w:r>
            <w:r>
              <w:rPr>
                <w:rFonts w:hint="eastAsia" w:ascii="仿宋" w:hAnsi="仿宋" w:eastAsia="仿宋"/>
                <w:sz w:val="21"/>
                <w:szCs w:val="21"/>
                <w:lang w:val="en-US" w:eastAsia="zh-CN"/>
              </w:rPr>
              <w:t>2023年第6期卷首</w:t>
            </w:r>
          </w:p>
        </w:tc>
        <w:tc>
          <w:tcPr>
            <w:tcW w:w="1276" w:type="dxa"/>
            <w:vAlign w:val="center"/>
          </w:tcPr>
          <w:p>
            <w:pPr>
              <w:spacing w:line="260" w:lineRule="exact"/>
              <w:rPr>
                <w:rFonts w:ascii="仿宋_GB2312" w:hAnsi="仿宋" w:eastAsia="仿宋"/>
                <w:color w:val="000000"/>
                <w:sz w:val="21"/>
                <w:szCs w:val="21"/>
              </w:rPr>
            </w:pPr>
            <w:r>
              <w:rPr>
                <w:rFonts w:hint="eastAsia" w:ascii="华文中宋" w:hAnsi="华文中宋" w:eastAsia="华文中宋"/>
                <w:color w:val="000000"/>
                <w:sz w:val="24"/>
                <w:szCs w:val="24"/>
              </w:rPr>
              <w:t>刊播日期</w:t>
            </w:r>
          </w:p>
        </w:tc>
        <w:tc>
          <w:tcPr>
            <w:tcW w:w="3866" w:type="dxa"/>
            <w:vAlign w:val="center"/>
          </w:tcPr>
          <w:p>
            <w:pPr>
              <w:spacing w:line="260" w:lineRule="exact"/>
              <w:rPr>
                <w:rFonts w:ascii="仿宋_GB2312" w:hAnsi="仿宋" w:eastAsia="仿宋"/>
                <w:color w:val="000000"/>
                <w:sz w:val="21"/>
                <w:szCs w:val="21"/>
              </w:rPr>
            </w:pPr>
            <w:r>
              <w:rPr>
                <w:rFonts w:hint="eastAsia" w:ascii="仿宋" w:hAnsi="仿宋" w:eastAsia="仿宋"/>
                <w:sz w:val="21"/>
                <w:szCs w:val="21"/>
                <w:lang w:val="en-US" w:eastAsia="zh-CN"/>
              </w:rPr>
              <w:t>2023-06-01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exact"/>
          <w:jc w:val="center"/>
        </w:trPr>
        <w:tc>
          <w:tcPr>
            <w:tcW w:w="1313" w:type="dxa"/>
            <w:vAlign w:val="center"/>
          </w:tcPr>
          <w:p>
            <w:pPr>
              <w:spacing w:line="340" w:lineRule="exact"/>
              <w:rPr>
                <w:rFonts w:ascii="仿宋_GB2312" w:hAnsi="仿宋"/>
                <w:color w:val="000000"/>
                <w:sz w:val="21"/>
                <w:szCs w:val="21"/>
              </w:rPr>
            </w:pPr>
            <w:r>
              <w:rPr>
                <w:rFonts w:hint="eastAsia" w:ascii="华文中宋" w:hAnsi="华文中宋" w:eastAsia="华文中宋"/>
                <w:color w:val="000000"/>
                <w:sz w:val="21"/>
                <w:szCs w:val="21"/>
              </w:rPr>
              <w:t>新媒体作品填报网址</w:t>
            </w:r>
          </w:p>
        </w:tc>
        <w:tc>
          <w:tcPr>
            <w:tcW w:w="3943" w:type="dxa"/>
            <w:vAlign w:val="center"/>
          </w:tcPr>
          <w:p>
            <w:pPr>
              <w:spacing w:line="260" w:lineRule="exact"/>
              <w:rPr>
                <w:rFonts w:ascii="华文中宋" w:hAnsi="华文中宋" w:eastAsia="华文中宋"/>
                <w:color w:val="000000"/>
                <w:sz w:val="24"/>
                <w:szCs w:val="24"/>
              </w:rPr>
            </w:pPr>
          </w:p>
        </w:tc>
        <w:tc>
          <w:tcPr>
            <w:tcW w:w="1276" w:type="dxa"/>
            <w:vAlign w:val="center"/>
          </w:tcPr>
          <w:p>
            <w:pPr>
              <w:spacing w:line="260" w:lineRule="exact"/>
              <w:rPr>
                <w:rFonts w:ascii="华文中宋" w:hAnsi="华文中宋" w:eastAsia="华文中宋"/>
                <w:color w:val="000000"/>
                <w:sz w:val="21"/>
                <w:szCs w:val="21"/>
              </w:rPr>
            </w:pPr>
            <w:r>
              <w:rPr>
                <w:rFonts w:hint="eastAsia" w:ascii="华文中宋" w:hAnsi="华文中宋" w:eastAsia="华文中宋"/>
                <w:color w:val="000000"/>
                <w:sz w:val="21"/>
                <w:szCs w:val="21"/>
              </w:rPr>
              <w:t>字数/时长</w:t>
            </w:r>
          </w:p>
        </w:tc>
        <w:tc>
          <w:tcPr>
            <w:tcW w:w="3866" w:type="dxa"/>
            <w:vAlign w:val="center"/>
          </w:tcPr>
          <w:p>
            <w:pPr>
              <w:spacing w:line="260" w:lineRule="exact"/>
              <w:rPr>
                <w:rFonts w:hint="default" w:ascii="仿宋" w:hAnsi="仿宋" w:eastAsia="仿宋"/>
                <w:sz w:val="21"/>
                <w:szCs w:val="21"/>
                <w:lang w:val="en-US"/>
              </w:rPr>
            </w:pPr>
            <w:r>
              <w:rPr>
                <w:rFonts w:hint="eastAsia" w:ascii="仿宋" w:hAnsi="仿宋" w:eastAsia="仿宋"/>
                <w:sz w:val="21"/>
                <w:szCs w:val="21"/>
                <w:lang w:val="en-US" w:eastAsia="zh-CN"/>
              </w:rPr>
              <w:t>1157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0" w:hRule="atLeast"/>
          <w:jc w:val="center"/>
        </w:trPr>
        <w:tc>
          <w:tcPr>
            <w:tcW w:w="1313" w:type="dxa"/>
            <w:vAlign w:val="center"/>
          </w:tcPr>
          <w:p>
            <w:pPr>
              <w:spacing w:line="34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 xml:space="preserve">  ︵</w:t>
            </w:r>
          </w:p>
          <w:p>
            <w:pPr>
              <w:spacing w:line="34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作采</w:t>
            </w:r>
          </w:p>
          <w:p>
            <w:pPr>
              <w:spacing w:line="34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品编</w:t>
            </w:r>
          </w:p>
          <w:p>
            <w:pPr>
              <w:spacing w:line="34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简过</w:t>
            </w:r>
          </w:p>
          <w:p>
            <w:pPr>
              <w:spacing w:line="34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介程</w:t>
            </w:r>
          </w:p>
          <w:p>
            <w:pPr>
              <w:spacing w:line="34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 xml:space="preserve">  ︶</w:t>
            </w:r>
          </w:p>
        </w:tc>
        <w:tc>
          <w:tcPr>
            <w:tcW w:w="9085" w:type="dxa"/>
            <w:gridSpan w:val="3"/>
            <w:vAlign w:val="center"/>
          </w:tcPr>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eastAsia" w:ascii="仿宋" w:hAnsi="仿宋" w:eastAsia="仿宋"/>
                <w:sz w:val="21"/>
                <w:szCs w:val="21"/>
                <w:lang w:val="en-US" w:eastAsia="zh-CN"/>
              </w:rPr>
            </w:pPr>
            <w:r>
              <w:rPr>
                <w:rFonts w:hint="eastAsia" w:ascii="仿宋" w:hAnsi="仿宋" w:eastAsia="仿宋"/>
                <w:sz w:val="21"/>
                <w:szCs w:val="21"/>
                <w:lang w:val="en-US" w:eastAsia="zh-CN"/>
              </w:rPr>
              <w:t>2023年6月5日，这篇评论第一时间在网端刊发。</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default" w:ascii="仿宋" w:hAnsi="仿宋" w:eastAsia="仿宋"/>
                <w:sz w:val="21"/>
                <w:szCs w:val="21"/>
                <w:lang w:val="en-US" w:eastAsia="zh-Hans"/>
              </w:rPr>
            </w:pPr>
            <w:r>
              <w:rPr>
                <w:rFonts w:hint="eastAsia" w:ascii="仿宋" w:hAnsi="仿宋" w:eastAsia="仿宋"/>
                <w:sz w:val="21"/>
                <w:szCs w:val="21"/>
                <w:lang w:val="en-US" w:eastAsia="zh-CN"/>
              </w:rPr>
              <w:t>６月５日，习近平总书记亲临内蒙古</w:t>
            </w:r>
            <w:r>
              <w:rPr>
                <w:rFonts w:hint="default" w:ascii="仿宋" w:hAnsi="仿宋" w:eastAsia="仿宋"/>
                <w:sz w:val="21"/>
                <w:szCs w:val="21"/>
                <w:lang w:val="en-US" w:eastAsia="zh-Hans"/>
              </w:rPr>
              <w:t>巴彦淖尔</w:t>
            </w:r>
            <w:r>
              <w:rPr>
                <w:rFonts w:hint="eastAsia" w:ascii="仿宋" w:hAnsi="仿宋" w:eastAsia="仿宋"/>
                <w:sz w:val="21"/>
                <w:szCs w:val="21"/>
                <w:lang w:val="en-US" w:eastAsia="zh-CN"/>
              </w:rPr>
              <w:t>考察</w:t>
            </w:r>
            <w:r>
              <w:rPr>
                <w:rFonts w:hint="default" w:ascii="仿宋" w:hAnsi="仿宋" w:eastAsia="仿宋"/>
                <w:sz w:val="21"/>
                <w:szCs w:val="21"/>
                <w:lang w:val="en-US" w:eastAsia="zh-Hans"/>
              </w:rPr>
              <w:t>。“沙”，是此行的主题。</w:t>
            </w:r>
            <w:r>
              <w:rPr>
                <w:rFonts w:hint="eastAsia" w:ascii="仿宋" w:hAnsi="仿宋" w:eastAsia="仿宋"/>
                <w:sz w:val="21"/>
                <w:szCs w:val="21"/>
                <w:lang w:val="en-US" w:eastAsia="zh-CN"/>
              </w:rPr>
              <w:t>此次，习近平</w:t>
            </w:r>
            <w:r>
              <w:rPr>
                <w:rFonts w:hint="default" w:ascii="仿宋" w:hAnsi="仿宋" w:eastAsia="仿宋"/>
                <w:sz w:val="21"/>
                <w:szCs w:val="21"/>
                <w:lang w:val="en-US" w:eastAsia="zh-Hans"/>
              </w:rPr>
              <w:t>总书记主持召开</w:t>
            </w:r>
            <w:r>
              <w:rPr>
                <w:rFonts w:hint="eastAsia" w:ascii="仿宋" w:hAnsi="仿宋" w:eastAsia="仿宋"/>
                <w:sz w:val="21"/>
                <w:szCs w:val="21"/>
                <w:lang w:val="en-US" w:eastAsia="zh-CN"/>
              </w:rPr>
              <w:t>了</w:t>
            </w:r>
            <w:r>
              <w:rPr>
                <w:rFonts w:hint="default" w:ascii="仿宋" w:hAnsi="仿宋" w:eastAsia="仿宋"/>
                <w:sz w:val="21"/>
                <w:szCs w:val="21"/>
                <w:lang w:val="en-US" w:eastAsia="zh-Hans"/>
              </w:rPr>
              <w:t>一个重要会议——加强荒漠化综合防治和推进“三北”等重点生态工程建设座谈会。</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eastAsia" w:ascii="仿宋" w:hAnsi="仿宋" w:eastAsia="仿宋"/>
                <w:sz w:val="21"/>
                <w:szCs w:val="21"/>
                <w:lang w:val="en-US" w:eastAsia="zh-CN"/>
              </w:rPr>
            </w:pPr>
            <w:r>
              <w:rPr>
                <w:rFonts w:hint="eastAsia" w:ascii="仿宋" w:hAnsi="仿宋" w:eastAsia="仿宋"/>
                <w:sz w:val="21"/>
                <w:szCs w:val="21"/>
                <w:lang w:val="en-US" w:eastAsia="zh-CN"/>
              </w:rPr>
              <w:t>治沙与治国融为一体，是习近平治国理政的重要一笔。内蒙古是荒漠化和沙化土地集中、危害严重的省区之一，也是我国防沙治沙工作的重点地区。浑善达克沙地是距首都北京最近的沙地，直线距离仅180公里。</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eastAsia" w:ascii="仿宋" w:hAnsi="仿宋" w:eastAsia="仿宋"/>
                <w:sz w:val="21"/>
                <w:szCs w:val="21"/>
                <w:lang w:val="en-US" w:eastAsia="zh-Hans"/>
              </w:rPr>
            </w:pPr>
            <w:r>
              <w:rPr>
                <w:rFonts w:hint="eastAsia" w:ascii="仿宋" w:hAnsi="仿宋" w:eastAsia="仿宋"/>
                <w:sz w:val="21"/>
                <w:szCs w:val="21"/>
                <w:lang w:val="en-US" w:eastAsia="zh-CN"/>
              </w:rPr>
              <w:t>内蒙古的防沙治沙始终牵动总书记的心，</w:t>
            </w:r>
            <w:r>
              <w:rPr>
                <w:rFonts w:hint="eastAsia" w:ascii="仿宋" w:hAnsi="仿宋" w:eastAsia="仿宋"/>
                <w:sz w:val="21"/>
                <w:szCs w:val="21"/>
                <w:lang w:val="en-US" w:eastAsia="zh-Hans"/>
              </w:rPr>
              <w:t>2021年全国两会期间，习近平总书记在</w:t>
            </w:r>
            <w:r>
              <w:rPr>
                <w:rFonts w:hint="eastAsia" w:ascii="仿宋" w:hAnsi="仿宋" w:eastAsia="仿宋"/>
                <w:sz w:val="21"/>
                <w:szCs w:val="21"/>
                <w:lang w:val="en-US" w:eastAsia="zh-CN"/>
              </w:rPr>
              <w:t>内蒙古代表团审议时特别</w:t>
            </w:r>
            <w:r>
              <w:rPr>
                <w:rFonts w:hint="eastAsia" w:ascii="仿宋" w:hAnsi="仿宋" w:eastAsia="仿宋"/>
                <w:sz w:val="21"/>
                <w:szCs w:val="21"/>
                <w:lang w:val="en-US" w:eastAsia="zh-Hans"/>
              </w:rPr>
              <w:t>谈到“统筹山水林田湖草系统治理，这里要加一个‘沙’字。”</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eastAsia" w:ascii="仿宋" w:hAnsi="仿宋" w:eastAsia="仿宋"/>
                <w:sz w:val="21"/>
                <w:szCs w:val="21"/>
                <w:lang w:val="en-US" w:eastAsia="zh-CN"/>
              </w:rPr>
            </w:pPr>
            <w:r>
              <w:rPr>
                <w:rFonts w:hint="eastAsia" w:ascii="仿宋" w:hAnsi="仿宋" w:eastAsia="仿宋"/>
                <w:sz w:val="21"/>
                <w:szCs w:val="21"/>
                <w:lang w:val="en-US" w:eastAsia="zh-CN"/>
              </w:rPr>
              <w:t>创作团队提前策划，并派出记者深入鄂尔多斯、巴彦淖尔等地，深度调研</w:t>
            </w:r>
            <w:r>
              <w:rPr>
                <w:rFonts w:hint="eastAsia" w:ascii="仿宋" w:hAnsi="仿宋" w:eastAsia="仿宋"/>
                <w:sz w:val="21"/>
                <w:szCs w:val="21"/>
                <w:lang w:val="en-US" w:eastAsia="zh-Hans"/>
              </w:rPr>
              <w:t>典型</w:t>
            </w:r>
            <w:r>
              <w:rPr>
                <w:rFonts w:hint="eastAsia" w:ascii="仿宋" w:hAnsi="仿宋" w:eastAsia="仿宋"/>
                <w:sz w:val="21"/>
                <w:szCs w:val="21"/>
                <w:lang w:val="en-US" w:eastAsia="zh-CN"/>
              </w:rPr>
              <w:t>经验</w:t>
            </w:r>
            <w:r>
              <w:rPr>
                <w:rFonts w:hint="eastAsia" w:ascii="仿宋" w:hAnsi="仿宋" w:eastAsia="仿宋"/>
                <w:sz w:val="21"/>
                <w:szCs w:val="21"/>
                <w:lang w:val="en-US" w:eastAsia="zh-Hans"/>
              </w:rPr>
              <w:t>、典型人物</w:t>
            </w:r>
            <w:r>
              <w:rPr>
                <w:rFonts w:hint="eastAsia" w:ascii="仿宋" w:hAnsi="仿宋" w:eastAsia="仿宋"/>
                <w:sz w:val="21"/>
                <w:szCs w:val="21"/>
                <w:lang w:val="en-US" w:eastAsia="zh-CN"/>
              </w:rPr>
              <w:t>、典型做法，推出《大国治沙》。</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ascii="仿宋" w:hAnsi="仿宋" w:eastAsia="仿宋"/>
                <w:color w:val="000000"/>
                <w:w w:val="95"/>
                <w:sz w:val="24"/>
                <w:szCs w:val="24"/>
              </w:rPr>
            </w:pPr>
            <w:r>
              <w:rPr>
                <w:rFonts w:hint="eastAsia" w:ascii="仿宋" w:hAnsi="仿宋" w:eastAsia="仿宋"/>
                <w:sz w:val="21"/>
                <w:szCs w:val="21"/>
                <w:lang w:val="en-US" w:eastAsia="zh-CN"/>
              </w:rPr>
              <w:t>该评论深刻论述了内蒙古以及全国各地深入践行习近平生态文明思想、习近平总书记关于防沙治沙和荒漠化防治重要指示批示和讲话精神，推进防沙治沙的生动实践和取得的显著成绩，</w:t>
            </w:r>
            <w:r>
              <w:rPr>
                <w:rFonts w:hint="eastAsia" w:ascii="仿宋" w:hAnsi="仿宋" w:eastAsia="仿宋"/>
                <w:sz w:val="21"/>
                <w:szCs w:val="21"/>
                <w:lang w:val="en-US" w:eastAsia="zh-Hans"/>
              </w:rPr>
              <w:t>展示中国经验和中国智慧为全球荒漠化治理贡献</w:t>
            </w:r>
            <w:r>
              <w:rPr>
                <w:rFonts w:hint="eastAsia" w:ascii="仿宋" w:hAnsi="仿宋" w:eastAsia="仿宋"/>
                <w:sz w:val="21"/>
                <w:szCs w:val="21"/>
                <w:lang w:val="en-US" w:eastAsia="zh-CN"/>
              </w:rPr>
              <w:t>；剖析了我国防沙治沙事业取得历史性成就的原因及优势所在，做到了政治高度、论说深度、情感温度的统一。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exact"/>
          <w:jc w:val="center"/>
        </w:trPr>
        <w:tc>
          <w:tcPr>
            <w:tcW w:w="1313" w:type="dxa"/>
            <w:vAlign w:val="center"/>
          </w:tcPr>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社</w:t>
            </w:r>
          </w:p>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会</w:t>
            </w:r>
          </w:p>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效</w:t>
            </w:r>
          </w:p>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果</w:t>
            </w:r>
          </w:p>
        </w:tc>
        <w:tc>
          <w:tcPr>
            <w:tcW w:w="9085" w:type="dxa"/>
            <w:gridSpan w:val="3"/>
            <w:vAlign w:val="center"/>
          </w:tcPr>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eastAsia" w:ascii="仿宋" w:hAnsi="仿宋" w:eastAsia="仿宋"/>
                <w:sz w:val="21"/>
                <w:szCs w:val="21"/>
                <w:lang w:val="en-US" w:eastAsia="zh-CN"/>
              </w:rPr>
            </w:pPr>
            <w:r>
              <w:rPr>
                <w:rFonts w:hint="eastAsia" w:ascii="仿宋" w:hAnsi="仿宋" w:eastAsia="仿宋"/>
                <w:sz w:val="21"/>
                <w:szCs w:val="21"/>
                <w:lang w:val="en-US" w:eastAsia="zh-CN"/>
              </w:rPr>
              <w:t>该评论第一时间在网端刊发，“学习强国”内蒙古学习平台、奔腾融媒、‘识见“微信公众号等平台转载，实现了在内蒙古全网刊发。在《实践》杂志上刊发，形成了全媒体传播矩阵。</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eastAsia" w:ascii="仿宋" w:hAnsi="仿宋" w:eastAsia="仿宋"/>
                <w:sz w:val="21"/>
                <w:szCs w:val="21"/>
                <w:lang w:val="en-US" w:eastAsia="zh-CN"/>
              </w:rPr>
            </w:pPr>
            <w:r>
              <w:rPr>
                <w:rFonts w:hint="eastAsia" w:ascii="仿宋" w:hAnsi="仿宋" w:eastAsia="仿宋"/>
                <w:sz w:val="21"/>
                <w:szCs w:val="21"/>
                <w:lang w:val="en-US" w:eastAsia="zh-CN"/>
              </w:rPr>
              <w:t>该评论还荣获“宣传内蒙古</w:t>
            </w:r>
            <w:r>
              <w:rPr>
                <w:rFonts w:hint="eastAsia" w:ascii="仿宋" w:hAnsi="仿宋" w:eastAsia="仿宋"/>
                <w:sz w:val="21"/>
                <w:szCs w:val="21"/>
                <w:lang w:val="en-US" w:eastAsia="zh-Hans"/>
              </w:rPr>
              <w:t>”</w:t>
            </w:r>
            <w:r>
              <w:rPr>
                <w:rFonts w:hint="eastAsia" w:ascii="仿宋" w:hAnsi="仿宋" w:eastAsia="仿宋"/>
                <w:sz w:val="21"/>
                <w:szCs w:val="21"/>
                <w:lang w:val="en-US" w:eastAsia="zh-CN"/>
              </w:rPr>
              <w:t>好</w:t>
            </w:r>
            <w:r>
              <w:rPr>
                <w:rFonts w:hint="eastAsia" w:ascii="仿宋" w:hAnsi="仿宋" w:eastAsia="仿宋"/>
                <w:sz w:val="21"/>
                <w:szCs w:val="21"/>
                <w:lang w:val="en-US" w:eastAsia="zh-Hans"/>
              </w:rPr>
              <w:t>作品奖</w:t>
            </w:r>
            <w:r>
              <w:rPr>
                <w:rFonts w:hint="eastAsia" w:ascii="仿宋" w:hAnsi="仿宋" w:eastAsia="仿宋"/>
                <w:sz w:val="21"/>
                <w:szCs w:val="21"/>
                <w:lang w:val="en-US" w:eastAsia="zh-CN"/>
              </w:rPr>
              <w:t>、全国党刊“学习宣传贯彻党的二十大精神，全国地方党刊媒体融合报道”。</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eastAsia" w:ascii="仿宋" w:hAnsi="仿宋" w:eastAsia="仿宋"/>
                <w:color w:val="000000"/>
                <w:sz w:val="24"/>
                <w:szCs w:val="24"/>
                <w:lang w:eastAsia="zh-CN"/>
              </w:rPr>
            </w:pPr>
            <w:r>
              <w:rPr>
                <w:rFonts w:hint="eastAsia" w:ascii="仿宋" w:hAnsi="仿宋" w:eastAsia="仿宋"/>
                <w:sz w:val="21"/>
                <w:szCs w:val="21"/>
                <w:lang w:val="en-US" w:eastAsia="zh-CN"/>
              </w:rPr>
              <w:t>因为刊发契机，该评论被业内人士广泛称道。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6" w:hRule="exact"/>
          <w:jc w:val="center"/>
        </w:trPr>
        <w:tc>
          <w:tcPr>
            <w:tcW w:w="1313" w:type="dxa"/>
            <w:vAlign w:val="center"/>
          </w:tcPr>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 xml:space="preserve">  ︵</w:t>
            </w:r>
          </w:p>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初推</w:t>
            </w:r>
          </w:p>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评荐</w:t>
            </w:r>
          </w:p>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评理</w:t>
            </w:r>
          </w:p>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语由</w:t>
            </w:r>
          </w:p>
          <w:p>
            <w:pPr>
              <w:spacing w:line="34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 xml:space="preserve">  ︶</w:t>
            </w:r>
          </w:p>
        </w:tc>
        <w:tc>
          <w:tcPr>
            <w:tcW w:w="9085" w:type="dxa"/>
            <w:gridSpan w:val="3"/>
            <w:vAlign w:val="center"/>
          </w:tcPr>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eastAsia" w:ascii="仿宋" w:hAnsi="仿宋" w:eastAsia="仿宋"/>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eastAsia" w:ascii="仿宋" w:hAnsi="仿宋" w:eastAsia="仿宋"/>
                <w:sz w:val="21"/>
                <w:szCs w:val="21"/>
                <w:lang w:val="en-US" w:eastAsia="zh-CN"/>
              </w:rPr>
            </w:pPr>
            <w:r>
              <w:rPr>
                <w:rFonts w:hint="eastAsia" w:ascii="仿宋" w:hAnsi="仿宋" w:eastAsia="仿宋"/>
                <w:sz w:val="21"/>
                <w:szCs w:val="21"/>
                <w:lang w:val="en-US" w:eastAsia="zh-CN"/>
              </w:rPr>
              <w:t>这篇评论刊发契机，被业内人士广泛称道，可见是创作团队政治敏锐性强、新闻素养高。这是一篇令人耳目一新的实地采编力作。评论聚焦防沙治沙这一大国事业，通过大量采访、案例讲故事说道理，以小见大，深入浅出地讲述了防沙治沙的中国经验，创新地宣传阐释了习近平生态文明思想，是书写践行“四力”的创新典范。评论“上连党心、下接民心”，政治站位高，观点鲜明，说理透彻，文笔流畅，说服力强，传播效果好，充分体现了党媒评论在舆论上的导向作用、旗帜作用、引领作用。</w:t>
            </w:r>
          </w:p>
          <w:p>
            <w:pPr>
              <w:spacing w:line="360" w:lineRule="exact"/>
              <w:rPr>
                <w:rFonts w:ascii="华文中宋" w:hAnsi="华文中宋" w:eastAsia="华文中宋"/>
                <w:color w:val="000000"/>
                <w:sz w:val="24"/>
                <w:szCs w:val="24"/>
              </w:rPr>
            </w:pPr>
            <w:r>
              <w:rPr>
                <w:rFonts w:hint="eastAsia" w:ascii="华文中宋" w:hAnsi="华文中宋" w:eastAsia="华文中宋"/>
                <w:color w:val="000000"/>
                <w:spacing w:val="-2"/>
                <w:sz w:val="24"/>
                <w:szCs w:val="24"/>
              </w:rPr>
              <w:t xml:space="preserve">                           签名：</w:t>
            </w:r>
            <w:r>
              <w:rPr>
                <w:rFonts w:hint="eastAsia" w:ascii="华文中宋" w:hAnsi="华文中宋" w:eastAsia="华文中宋"/>
                <w:color w:val="000000"/>
                <w:sz w:val="24"/>
                <w:szCs w:val="24"/>
              </w:rPr>
              <w:t>（盖单位公章）</w:t>
            </w:r>
          </w:p>
          <w:p>
            <w:pPr>
              <w:rPr>
                <w:rFonts w:ascii="仿宋" w:hAnsi="仿宋" w:eastAsia="仿宋"/>
                <w:color w:val="000000"/>
                <w:sz w:val="24"/>
                <w:szCs w:val="24"/>
              </w:rPr>
            </w:pPr>
            <w:r>
              <w:rPr>
                <w:rFonts w:hint="eastAsia" w:ascii="仿宋_GB2312"/>
                <w:color w:val="000000"/>
                <w:sz w:val="24"/>
                <w:szCs w:val="24"/>
              </w:rPr>
              <w:t xml:space="preserve">                                 </w:t>
            </w:r>
            <w:r>
              <w:rPr>
                <w:rFonts w:ascii="华文中宋" w:hAnsi="华文中宋" w:eastAsia="华文中宋"/>
                <w:color w:val="000000"/>
                <w:sz w:val="24"/>
                <w:szCs w:val="24"/>
              </w:rPr>
              <w:t xml:space="preserve">2024年  </w:t>
            </w:r>
            <w:r>
              <w:rPr>
                <w:rFonts w:hint="eastAsia" w:ascii="华文中宋" w:hAnsi="华文中宋" w:eastAsia="华文中宋"/>
                <w:color w:val="000000"/>
                <w:sz w:val="24"/>
                <w:szCs w:val="24"/>
              </w:rPr>
              <w:t>月</w:t>
            </w:r>
            <w:r>
              <w:rPr>
                <w:rFonts w:ascii="华文中宋" w:hAnsi="华文中宋" w:eastAsia="华文中宋"/>
                <w:color w:val="000000"/>
                <w:sz w:val="24"/>
                <w:szCs w:val="24"/>
              </w:rPr>
              <w:t xml:space="preserve">  </w:t>
            </w:r>
            <w:r>
              <w:rPr>
                <w:rFonts w:hint="eastAsia" w:ascii="华文中宋" w:hAnsi="华文中宋" w:eastAsia="华文中宋"/>
                <w:color w:val="000000"/>
                <w:sz w:val="24"/>
                <w:szCs w:val="24"/>
              </w:rPr>
              <w:t>日</w:t>
            </w:r>
          </w:p>
        </w:tc>
      </w:tr>
    </w:tbl>
    <w:p/>
    <w:sectPr>
      <w:pgSz w:w="11906" w:h="16838"/>
      <w:pgMar w:top="306" w:right="312" w:bottom="306" w:left="22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汉仪中宋简">
    <w:panose1 w:val="02010600000101010101"/>
    <w:charset w:val="86"/>
    <w:family w:val="auto"/>
    <w:pitch w:val="default"/>
    <w:sig w:usb0="00000001" w:usb1="080E0800" w:usb2="00000002"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RjYzdhODM1NzYyZDRjNjM1OGNjOTAwYTg3NTUxYTgifQ=="/>
  </w:docVars>
  <w:rsids>
    <w:rsidRoot w:val="00BD68CE"/>
    <w:rsid w:val="00194629"/>
    <w:rsid w:val="008F4798"/>
    <w:rsid w:val="00BD68CE"/>
    <w:rsid w:val="0B5B1136"/>
    <w:rsid w:val="0BFDA50C"/>
    <w:rsid w:val="29765412"/>
    <w:rsid w:val="2E757D84"/>
    <w:rsid w:val="322C0C69"/>
    <w:rsid w:val="37DF24E8"/>
    <w:rsid w:val="3D5FD8D8"/>
    <w:rsid w:val="473A3F6A"/>
    <w:rsid w:val="7FD5734F"/>
    <w:rsid w:val="E2B92E96"/>
    <w:rsid w:val="E5FF4953"/>
    <w:rsid w:val="FBEE4C40"/>
    <w:rsid w:val="FF66F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132</Words>
  <Characters>755</Characters>
  <Lines>6</Lines>
  <Paragraphs>1</Paragraphs>
  <TotalTime>11</TotalTime>
  <ScaleCrop>false</ScaleCrop>
  <LinksUpToDate>false</LinksUpToDate>
  <CharactersWithSpaces>886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2023-05-19T03:25:00Z</dcterms:created>
  <dc:creator>Administrator</dc:creator>
  <cp:lastModifiedBy>uos</cp:lastModifiedBy>
  <cp:lastPrinted>2024-03-23T01:05:00Z</cp:lastPrinted>
  <dcterms:modified xsi:type="dcterms:W3CDTF">2024-03-22T19:32:17Z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A2805E84D2374D0ABFF78678F170F29D_13</vt:lpwstr>
  </property>
</Properties>
</file>